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ADBC" w14:textId="6CE02B43" w:rsidR="00965F39" w:rsidRDefault="00965F39" w:rsidP="00965F39">
      <w:pPr>
        <w:pStyle w:val="ci"/>
        <w:shd w:val="clear" w:color="auto" w:fill="FFFFFF"/>
        <w:spacing w:before="0" w:beforeAutospacing="0" w:after="160" w:afterAutospacing="0" w:line="235" w:lineRule="atLeast"/>
        <w:jc w:val="right"/>
        <w:rPr>
          <w:rFonts w:ascii="Calibri" w:hAnsi="Calibri" w:cs="Calibri"/>
          <w:b/>
          <w:bCs/>
          <w:color w:val="060A2A"/>
          <w:sz w:val="22"/>
          <w:szCs w:val="22"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6EE8AD36" wp14:editId="7E9FBCB4">
            <wp:extent cx="1009455" cy="1081480"/>
            <wp:effectExtent l="0" t="0" r="635" b="4445"/>
            <wp:docPr id="4" name="Picture 4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07" cy="109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6854F" w14:textId="22DEE7E8" w:rsidR="00965F39" w:rsidRDefault="00965F39" w:rsidP="00965F39">
      <w:pPr>
        <w:pStyle w:val="ci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b/>
          <w:bCs/>
          <w:color w:val="060A2A"/>
          <w:sz w:val="22"/>
          <w:szCs w:val="22"/>
        </w:rPr>
      </w:pPr>
      <w:r>
        <w:rPr>
          <w:rFonts w:ascii="Calibri" w:hAnsi="Calibri" w:cs="Calibri"/>
          <w:b/>
          <w:bCs/>
          <w:color w:val="060A2A"/>
          <w:sz w:val="22"/>
          <w:szCs w:val="22"/>
        </w:rPr>
        <w:t>4 December 2025</w:t>
      </w:r>
    </w:p>
    <w:p w14:paraId="76FBCFC6" w14:textId="2AEBC237" w:rsidR="00FB192E" w:rsidRDefault="00FB192E" w:rsidP="00FB192E">
      <w:pPr>
        <w:pStyle w:val="ci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 w:cs="Calibri"/>
          <w:b/>
          <w:bCs/>
          <w:color w:val="060A2A"/>
          <w:sz w:val="22"/>
          <w:szCs w:val="22"/>
        </w:rPr>
      </w:pPr>
      <w:r>
        <w:rPr>
          <w:rFonts w:ascii="Calibri" w:hAnsi="Calibri" w:cs="Calibri"/>
          <w:b/>
          <w:bCs/>
          <w:color w:val="060A2A"/>
          <w:sz w:val="22"/>
          <w:szCs w:val="22"/>
        </w:rPr>
        <w:t>WATCHES OF SWITZERLAND GROUP PLC (the 'Company')</w:t>
      </w:r>
    </w:p>
    <w:p w14:paraId="355EC775" w14:textId="66A2D235" w:rsidR="00FB192E" w:rsidRDefault="00CF25F3" w:rsidP="00FB192E">
      <w:pPr>
        <w:pStyle w:val="cj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60A2A"/>
          <w:sz w:val="22"/>
          <w:szCs w:val="22"/>
        </w:rPr>
      </w:pPr>
      <w:r>
        <w:rPr>
          <w:rFonts w:ascii="Calibri" w:hAnsi="Calibri" w:cs="Calibri"/>
          <w:b/>
          <w:bCs/>
          <w:color w:val="060A2A"/>
          <w:sz w:val="22"/>
          <w:szCs w:val="22"/>
        </w:rPr>
        <w:t>PERFORMANCE CONDITIONS FOR FY2</w:t>
      </w:r>
      <w:r w:rsidR="00A81D17">
        <w:rPr>
          <w:rFonts w:ascii="Calibri" w:hAnsi="Calibri" w:cs="Calibri"/>
          <w:b/>
          <w:bCs/>
          <w:color w:val="060A2A"/>
          <w:sz w:val="22"/>
          <w:szCs w:val="22"/>
        </w:rPr>
        <w:t>6</w:t>
      </w:r>
      <w:r>
        <w:rPr>
          <w:rFonts w:ascii="Calibri" w:hAnsi="Calibri" w:cs="Calibri"/>
          <w:b/>
          <w:bCs/>
          <w:color w:val="060A2A"/>
          <w:sz w:val="22"/>
          <w:szCs w:val="22"/>
        </w:rPr>
        <w:t xml:space="preserve"> LONG-TERM INCENTIVE AWARDS</w:t>
      </w:r>
    </w:p>
    <w:p w14:paraId="2F754F5E" w14:textId="77777777" w:rsidR="005C7195" w:rsidRPr="00650DB9" w:rsidRDefault="005C7195" w:rsidP="005C719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4B1E8A" w14:textId="039F70AB" w:rsidR="005C7195" w:rsidRDefault="00CF25F3" w:rsidP="00CF25F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 the Remuneration Policy approved by shareholders at the 2025 AGM, executive directors are granted annual awards of shares under the Company’s Long Term Incentive Plan.</w:t>
      </w:r>
    </w:p>
    <w:p w14:paraId="18F2886A" w14:textId="77777777" w:rsidR="00CF25F3" w:rsidRDefault="00CF25F3" w:rsidP="00CF25F3">
      <w:pPr>
        <w:pStyle w:val="Default"/>
        <w:rPr>
          <w:rFonts w:ascii="Calibri" w:hAnsi="Calibri" w:cs="Calibri"/>
          <w:sz w:val="22"/>
          <w:szCs w:val="22"/>
        </w:rPr>
      </w:pPr>
    </w:p>
    <w:p w14:paraId="5410C9F8" w14:textId="3B607C64" w:rsidR="00CF25F3" w:rsidRDefault="00CF25F3" w:rsidP="00CF25F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communicated in the 2025 Directors’ Remuneration Report the finalisation of the performance criteria for the FY2</w:t>
      </w:r>
      <w:r w:rsidR="00A81D17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LTIP awards was delayed</w:t>
      </w:r>
      <w:r w:rsidR="007C6BD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in light of</w:t>
      </w:r>
      <w:proofErr w:type="gramEnd"/>
      <w:r>
        <w:rPr>
          <w:rFonts w:ascii="Calibri" w:hAnsi="Calibri" w:cs="Calibri"/>
          <w:sz w:val="22"/>
          <w:szCs w:val="22"/>
        </w:rPr>
        <w:t xml:space="preserve"> the ongoing market volatility including the impact of US tariffs.</w:t>
      </w:r>
    </w:p>
    <w:p w14:paraId="7A2E7999" w14:textId="77777777" w:rsidR="00CF25F3" w:rsidRDefault="00CF25F3" w:rsidP="00CF25F3">
      <w:pPr>
        <w:pStyle w:val="Default"/>
        <w:rPr>
          <w:rFonts w:ascii="Calibri" w:hAnsi="Calibri" w:cs="Calibri"/>
          <w:sz w:val="22"/>
          <w:szCs w:val="22"/>
        </w:rPr>
      </w:pPr>
    </w:p>
    <w:p w14:paraId="60183BC9" w14:textId="7BBA5958" w:rsidR="00A81D17" w:rsidRDefault="00A81D17" w:rsidP="00CF25F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Company has been closely monitoring tariff developments, and the </w:t>
      </w:r>
      <w:r w:rsidR="007514F6">
        <w:rPr>
          <w:rFonts w:ascii="Calibri" w:hAnsi="Calibri" w:cs="Calibri"/>
          <w:sz w:val="22"/>
          <w:szCs w:val="22"/>
        </w:rPr>
        <w:t xml:space="preserve">Remuneration </w:t>
      </w:r>
      <w:r>
        <w:rPr>
          <w:rFonts w:ascii="Calibri" w:hAnsi="Calibri" w:cs="Calibri"/>
          <w:sz w:val="22"/>
          <w:szCs w:val="22"/>
        </w:rPr>
        <w:t>Committee has now finalised the performance criteria for the FY26 LTIP awards as follows. The awards continue to be based 80% on Cumulative Adjusted EPS and 20% on Average ROCE.</w:t>
      </w:r>
    </w:p>
    <w:p w14:paraId="711AB189" w14:textId="77777777" w:rsidR="00A81D17" w:rsidRDefault="00A81D17" w:rsidP="00CF25F3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17AEB" w14:paraId="2C7FB00A" w14:textId="77777777" w:rsidTr="00B17AEB">
        <w:trPr>
          <w:trHeight w:val="537"/>
        </w:trPr>
        <w:tc>
          <w:tcPr>
            <w:tcW w:w="1803" w:type="dxa"/>
            <w:vMerge w:val="restart"/>
            <w:shd w:val="clear" w:color="auto" w:fill="BFBFBF" w:themeFill="background1" w:themeFillShade="BF"/>
            <w:vAlign w:val="center"/>
          </w:tcPr>
          <w:p w14:paraId="6A467F89" w14:textId="612A50C4" w:rsidR="00B17AEB" w:rsidRPr="00B17AEB" w:rsidRDefault="00B17AEB" w:rsidP="00B17AE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AEB">
              <w:rPr>
                <w:rFonts w:ascii="Calibri" w:hAnsi="Calibri" w:cs="Calibri"/>
                <w:b/>
                <w:bCs/>
                <w:sz w:val="22"/>
                <w:szCs w:val="22"/>
              </w:rPr>
              <w:t>Measure</w:t>
            </w:r>
          </w:p>
        </w:tc>
        <w:tc>
          <w:tcPr>
            <w:tcW w:w="1803" w:type="dxa"/>
            <w:vMerge w:val="restart"/>
            <w:shd w:val="clear" w:color="auto" w:fill="BFBFBF" w:themeFill="background1" w:themeFillShade="BF"/>
            <w:vAlign w:val="center"/>
          </w:tcPr>
          <w:p w14:paraId="2D978FC6" w14:textId="6D6C4863" w:rsidR="00B17AEB" w:rsidRPr="00B17AEB" w:rsidRDefault="00B17AEB" w:rsidP="00B17AE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AEB">
              <w:rPr>
                <w:rFonts w:ascii="Calibri" w:hAnsi="Calibri" w:cs="Calibri"/>
                <w:b/>
                <w:bCs/>
                <w:sz w:val="22"/>
                <w:szCs w:val="22"/>
              </w:rPr>
              <w:t>Weighting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2A737313" w14:textId="4F2ABA96" w:rsidR="00B17AEB" w:rsidRPr="00B17AEB" w:rsidRDefault="00B17AEB" w:rsidP="00B17AE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AEB">
              <w:rPr>
                <w:rFonts w:ascii="Calibri" w:hAnsi="Calibri" w:cs="Calibri"/>
                <w:b/>
                <w:bCs/>
                <w:sz w:val="22"/>
                <w:szCs w:val="22"/>
              </w:rPr>
              <w:t>Threshold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2A127912" w14:textId="2F36BD33" w:rsidR="00B17AEB" w:rsidRPr="00B17AEB" w:rsidRDefault="00B17AEB" w:rsidP="00B17AE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AEB">
              <w:rPr>
                <w:rFonts w:ascii="Calibri" w:hAnsi="Calibri" w:cs="Calibri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1804" w:type="dxa"/>
            <w:shd w:val="clear" w:color="auto" w:fill="BFBFBF" w:themeFill="background1" w:themeFillShade="BF"/>
            <w:vAlign w:val="center"/>
          </w:tcPr>
          <w:p w14:paraId="21BB60DD" w14:textId="62051528" w:rsidR="00B17AEB" w:rsidRPr="00B17AEB" w:rsidRDefault="00B17AEB" w:rsidP="00B17AE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AEB">
              <w:rPr>
                <w:rFonts w:ascii="Calibri" w:hAnsi="Calibri" w:cs="Calibri"/>
                <w:b/>
                <w:bCs/>
                <w:sz w:val="22"/>
                <w:szCs w:val="22"/>
              </w:rPr>
              <w:t>Maximum</w:t>
            </w:r>
          </w:p>
        </w:tc>
      </w:tr>
      <w:tr w:rsidR="00B17AEB" w14:paraId="742B90BC" w14:textId="77777777" w:rsidTr="00B17AEB">
        <w:trPr>
          <w:trHeight w:val="537"/>
        </w:trPr>
        <w:tc>
          <w:tcPr>
            <w:tcW w:w="1803" w:type="dxa"/>
            <w:vMerge/>
          </w:tcPr>
          <w:p w14:paraId="39913A7D" w14:textId="77777777" w:rsidR="00B17AEB" w:rsidRDefault="00B17AEB" w:rsidP="00A81D1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Merge/>
          </w:tcPr>
          <w:p w14:paraId="137D927F" w14:textId="397AF4A3" w:rsidR="00B17AEB" w:rsidRDefault="00B17AEB" w:rsidP="00A81D1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5369D7BF" w14:textId="223C5840" w:rsidR="00B17AEB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(20% vesting)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E868A6A" w14:textId="59799584" w:rsidR="00B17AEB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(60% vesting)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2A78B7AF" w14:textId="2869C08C" w:rsidR="00B17AEB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(100% vesting)</w:t>
            </w:r>
          </w:p>
        </w:tc>
      </w:tr>
      <w:tr w:rsidR="00A81D17" w14:paraId="4B002CC1" w14:textId="77777777" w:rsidTr="00B17AEB">
        <w:trPr>
          <w:trHeight w:val="630"/>
        </w:trPr>
        <w:tc>
          <w:tcPr>
            <w:tcW w:w="1803" w:type="dxa"/>
            <w:vAlign w:val="center"/>
          </w:tcPr>
          <w:p w14:paraId="465C662C" w14:textId="4D0351D2" w:rsidR="00A81D17" w:rsidRDefault="00A81D17" w:rsidP="00B17A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A81D17">
              <w:rPr>
                <w:rFonts w:ascii="Calibri" w:hAnsi="Calibri" w:cs="Calibri"/>
                <w:b/>
                <w:bCs/>
                <w:sz w:val="22"/>
                <w:szCs w:val="22"/>
              </w:rPr>
              <w:t>Cumulative Adjusted EPS</w:t>
            </w:r>
          </w:p>
        </w:tc>
        <w:tc>
          <w:tcPr>
            <w:tcW w:w="1803" w:type="dxa"/>
            <w:vAlign w:val="center"/>
          </w:tcPr>
          <w:p w14:paraId="61C872C9" w14:textId="772841BD" w:rsidR="00A81D17" w:rsidRDefault="00A81D17" w:rsidP="00B17A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80%</w:t>
            </w:r>
          </w:p>
        </w:tc>
        <w:tc>
          <w:tcPr>
            <w:tcW w:w="1803" w:type="dxa"/>
            <w:vAlign w:val="center"/>
          </w:tcPr>
          <w:p w14:paraId="61E869D3" w14:textId="1AC7D083" w:rsidR="00A81D17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7AEB">
              <w:rPr>
                <w:rFonts w:ascii="Calibri" w:hAnsi="Calibri" w:cs="Calibri"/>
                <w:sz w:val="22"/>
                <w:szCs w:val="22"/>
              </w:rPr>
              <w:t>133.0p</w:t>
            </w:r>
          </w:p>
        </w:tc>
        <w:tc>
          <w:tcPr>
            <w:tcW w:w="1803" w:type="dxa"/>
            <w:vAlign w:val="center"/>
          </w:tcPr>
          <w:p w14:paraId="2C30B791" w14:textId="0F9F7FAC" w:rsidR="00A81D17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7AEB">
              <w:rPr>
                <w:rFonts w:ascii="Calibri" w:hAnsi="Calibri" w:cs="Calibri"/>
                <w:sz w:val="22"/>
                <w:szCs w:val="22"/>
              </w:rPr>
              <w:t>140</w:t>
            </w:r>
            <w:r>
              <w:rPr>
                <w:rFonts w:ascii="Calibri" w:hAnsi="Calibri" w:cs="Calibri"/>
                <w:sz w:val="22"/>
                <w:szCs w:val="22"/>
              </w:rPr>
              <w:t>.0</w:t>
            </w:r>
            <w:r w:rsidRPr="00B17AEB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1804" w:type="dxa"/>
            <w:vAlign w:val="center"/>
          </w:tcPr>
          <w:p w14:paraId="63FF0F70" w14:textId="667F1F3D" w:rsidR="00A81D17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7AEB">
              <w:rPr>
                <w:rFonts w:ascii="Calibri" w:hAnsi="Calibri" w:cs="Calibri"/>
                <w:sz w:val="22"/>
                <w:szCs w:val="22"/>
              </w:rPr>
              <w:t>147.0p</w:t>
            </w:r>
          </w:p>
        </w:tc>
      </w:tr>
      <w:tr w:rsidR="00A81D17" w14:paraId="5E99622E" w14:textId="77777777" w:rsidTr="00B17AEB">
        <w:trPr>
          <w:trHeight w:val="537"/>
        </w:trPr>
        <w:tc>
          <w:tcPr>
            <w:tcW w:w="1803" w:type="dxa"/>
            <w:vAlign w:val="center"/>
          </w:tcPr>
          <w:p w14:paraId="60C1C59F" w14:textId="3666ABC0" w:rsidR="00A81D17" w:rsidRDefault="00A81D17" w:rsidP="00B17A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A81D17">
              <w:rPr>
                <w:rFonts w:ascii="Calibri" w:hAnsi="Calibri" w:cs="Calibri"/>
                <w:b/>
                <w:bCs/>
                <w:sz w:val="22"/>
                <w:szCs w:val="22"/>
              </w:rPr>
              <w:t>Average ROCE</w:t>
            </w:r>
          </w:p>
        </w:tc>
        <w:tc>
          <w:tcPr>
            <w:tcW w:w="1803" w:type="dxa"/>
            <w:vAlign w:val="center"/>
          </w:tcPr>
          <w:p w14:paraId="04C758FB" w14:textId="11414DA0" w:rsidR="00A81D17" w:rsidRDefault="00A81D17" w:rsidP="00B17A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20%</w:t>
            </w:r>
          </w:p>
        </w:tc>
        <w:tc>
          <w:tcPr>
            <w:tcW w:w="1803" w:type="dxa"/>
            <w:vAlign w:val="center"/>
          </w:tcPr>
          <w:p w14:paraId="6EAD3E18" w14:textId="1BCD60EB" w:rsidR="00A81D17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7AEB">
              <w:rPr>
                <w:rFonts w:ascii="Calibri" w:hAnsi="Calibri" w:cs="Calibri"/>
                <w:sz w:val="22"/>
                <w:szCs w:val="22"/>
              </w:rPr>
              <w:t>16.5%</w:t>
            </w:r>
          </w:p>
        </w:tc>
        <w:tc>
          <w:tcPr>
            <w:tcW w:w="1803" w:type="dxa"/>
            <w:vAlign w:val="center"/>
          </w:tcPr>
          <w:p w14:paraId="0733FF4E" w14:textId="56E98C8F" w:rsidR="00A81D17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7AEB">
              <w:rPr>
                <w:rFonts w:ascii="Calibri" w:hAnsi="Calibri" w:cs="Calibri"/>
                <w:sz w:val="22"/>
                <w:szCs w:val="22"/>
              </w:rPr>
              <w:t>17.4%</w:t>
            </w:r>
          </w:p>
        </w:tc>
        <w:tc>
          <w:tcPr>
            <w:tcW w:w="1804" w:type="dxa"/>
            <w:vAlign w:val="center"/>
          </w:tcPr>
          <w:p w14:paraId="70D60C0E" w14:textId="69E68160" w:rsidR="00A81D17" w:rsidRDefault="00B17AEB" w:rsidP="00B17AE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7AEB">
              <w:rPr>
                <w:rFonts w:ascii="Calibri" w:hAnsi="Calibri" w:cs="Calibri"/>
                <w:sz w:val="22"/>
                <w:szCs w:val="22"/>
              </w:rPr>
              <w:t>18.3%</w:t>
            </w:r>
          </w:p>
        </w:tc>
      </w:tr>
    </w:tbl>
    <w:p w14:paraId="7E37F260" w14:textId="77777777" w:rsidR="00A81D17" w:rsidRDefault="00A81D17" w:rsidP="00CF25F3">
      <w:pPr>
        <w:pStyle w:val="Default"/>
        <w:rPr>
          <w:rFonts w:ascii="Calibri" w:hAnsi="Calibri" w:cs="Calibri"/>
          <w:sz w:val="22"/>
          <w:szCs w:val="22"/>
        </w:rPr>
      </w:pPr>
    </w:p>
    <w:p w14:paraId="3796846E" w14:textId="77777777" w:rsidR="00A81D17" w:rsidRDefault="00A81D17" w:rsidP="00CF25F3">
      <w:pPr>
        <w:pStyle w:val="Default"/>
        <w:rPr>
          <w:rFonts w:ascii="Calibri" w:hAnsi="Calibri" w:cs="Calibri"/>
          <w:sz w:val="22"/>
          <w:szCs w:val="22"/>
        </w:rPr>
      </w:pPr>
    </w:p>
    <w:p w14:paraId="4DA60247" w14:textId="3605C7D8" w:rsidR="00CF25F3" w:rsidRPr="000C2E51" w:rsidRDefault="00B17AEB" w:rsidP="00CF25F3">
      <w:pPr>
        <w:pStyle w:val="Default"/>
        <w:rPr>
          <w:sz w:val="23"/>
          <w:szCs w:val="23"/>
        </w:rPr>
      </w:pPr>
      <w:r w:rsidRPr="00B17AEB">
        <w:rPr>
          <w:rFonts w:ascii="Calibri" w:hAnsi="Calibri" w:cs="Calibri"/>
          <w:sz w:val="22"/>
          <w:szCs w:val="22"/>
        </w:rPr>
        <w:t>The full Remuneration Policy for executive directors is set out in the 202</w:t>
      </w:r>
      <w:r>
        <w:rPr>
          <w:rFonts w:ascii="Calibri" w:hAnsi="Calibri" w:cs="Calibri"/>
          <w:sz w:val="22"/>
          <w:szCs w:val="22"/>
        </w:rPr>
        <w:t>5</w:t>
      </w:r>
      <w:r w:rsidRPr="00B17AEB">
        <w:rPr>
          <w:rFonts w:ascii="Calibri" w:hAnsi="Calibri" w:cs="Calibri"/>
          <w:sz w:val="22"/>
          <w:szCs w:val="22"/>
        </w:rPr>
        <w:t xml:space="preserve"> Annual Report &amp; Accounts.  Full disclosure of the </w:t>
      </w:r>
      <w:r>
        <w:rPr>
          <w:rFonts w:ascii="Calibri" w:hAnsi="Calibri" w:cs="Calibri"/>
          <w:sz w:val="22"/>
          <w:szCs w:val="22"/>
        </w:rPr>
        <w:t>FY26</w:t>
      </w:r>
      <w:r w:rsidRPr="00B17AEB">
        <w:rPr>
          <w:rFonts w:ascii="Calibri" w:hAnsi="Calibri" w:cs="Calibri"/>
          <w:sz w:val="22"/>
          <w:szCs w:val="22"/>
        </w:rPr>
        <w:t xml:space="preserve"> LTIP award</w:t>
      </w:r>
      <w:r>
        <w:rPr>
          <w:rFonts w:ascii="Calibri" w:hAnsi="Calibri" w:cs="Calibri"/>
          <w:sz w:val="22"/>
          <w:szCs w:val="22"/>
        </w:rPr>
        <w:t>s</w:t>
      </w:r>
      <w:r w:rsidRPr="00B17AEB">
        <w:rPr>
          <w:rFonts w:ascii="Calibri" w:hAnsi="Calibri" w:cs="Calibri"/>
          <w:sz w:val="22"/>
          <w:szCs w:val="22"/>
        </w:rPr>
        <w:t xml:space="preserve"> and other elements of remuneration for Board directors will be provided in the 202</w:t>
      </w:r>
      <w:r>
        <w:rPr>
          <w:rFonts w:ascii="Calibri" w:hAnsi="Calibri" w:cs="Calibri"/>
          <w:sz w:val="22"/>
          <w:szCs w:val="22"/>
        </w:rPr>
        <w:t>6</w:t>
      </w:r>
      <w:r w:rsidRPr="00B17AEB">
        <w:rPr>
          <w:rFonts w:ascii="Calibri" w:hAnsi="Calibri" w:cs="Calibri"/>
          <w:sz w:val="22"/>
          <w:szCs w:val="22"/>
        </w:rPr>
        <w:t xml:space="preserve"> Directors’ Remuneration Report.</w:t>
      </w:r>
    </w:p>
    <w:sectPr w:rsidR="00CF25F3" w:rsidRPr="000C2E51" w:rsidSect="00965F39">
      <w:headerReference w:type="even" r:id="rId8"/>
      <w:headerReference w:type="firs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F47F" w14:textId="77777777" w:rsidR="00303A0F" w:rsidRDefault="00303A0F" w:rsidP="00444C8F">
      <w:pPr>
        <w:spacing w:after="0" w:line="240" w:lineRule="auto"/>
      </w:pPr>
      <w:r>
        <w:separator/>
      </w:r>
    </w:p>
  </w:endnote>
  <w:endnote w:type="continuationSeparator" w:id="0">
    <w:p w14:paraId="0A631800" w14:textId="77777777" w:rsidR="00303A0F" w:rsidRDefault="00303A0F" w:rsidP="004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60FC" w14:textId="77777777" w:rsidR="00303A0F" w:rsidRDefault="00303A0F" w:rsidP="00444C8F">
      <w:pPr>
        <w:spacing w:after="0" w:line="240" w:lineRule="auto"/>
      </w:pPr>
      <w:r>
        <w:separator/>
      </w:r>
    </w:p>
  </w:footnote>
  <w:footnote w:type="continuationSeparator" w:id="0">
    <w:p w14:paraId="6EC8626D" w14:textId="77777777" w:rsidR="00303A0F" w:rsidRDefault="00303A0F" w:rsidP="0044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88E8" w14:textId="008D86FC" w:rsidR="001E0D43" w:rsidRDefault="00965F39">
    <w:pPr>
      <w:pStyle w:val="Header"/>
    </w:pPr>
    <w:r>
      <w:rPr>
        <w:noProof/>
      </w:rPr>
      <w:pict w14:anchorId="32584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73610" o:spid="_x0000_s1027" type="#_x0000_t136" style="position:absolute;margin-left:0;margin-top:0;width:396.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1175" w14:textId="705D6586" w:rsidR="001E0D43" w:rsidRDefault="00965F39">
    <w:pPr>
      <w:pStyle w:val="Header"/>
    </w:pPr>
    <w:r>
      <w:rPr>
        <w:noProof/>
      </w:rPr>
      <w:pict w14:anchorId="389CB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73609" o:spid="_x0000_s1026" type="#_x0000_t136" style="position:absolute;margin-left:0;margin-top:0;width:396.5pt;height:23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5416"/>
    <w:multiLevelType w:val="hybridMultilevel"/>
    <w:tmpl w:val="48486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10052"/>
    <w:multiLevelType w:val="hybridMultilevel"/>
    <w:tmpl w:val="4B5C681C"/>
    <w:lvl w:ilvl="0" w:tplc="31F60AA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0035">
    <w:abstractNumId w:val="0"/>
  </w:num>
  <w:num w:numId="2" w16cid:durableId="201506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AE"/>
    <w:rsid w:val="000B0ADE"/>
    <w:rsid w:val="000C2E51"/>
    <w:rsid w:val="000E277A"/>
    <w:rsid w:val="000E69D3"/>
    <w:rsid w:val="00181054"/>
    <w:rsid w:val="001A1042"/>
    <w:rsid w:val="001A40D4"/>
    <w:rsid w:val="001E0D43"/>
    <w:rsid w:val="00257449"/>
    <w:rsid w:val="00286D16"/>
    <w:rsid w:val="0029518E"/>
    <w:rsid w:val="002B317C"/>
    <w:rsid w:val="002C5291"/>
    <w:rsid w:val="002D7203"/>
    <w:rsid w:val="00303A0F"/>
    <w:rsid w:val="00323C91"/>
    <w:rsid w:val="003314D6"/>
    <w:rsid w:val="00374F44"/>
    <w:rsid w:val="003840F3"/>
    <w:rsid w:val="003F073D"/>
    <w:rsid w:val="00420C46"/>
    <w:rsid w:val="00444C8F"/>
    <w:rsid w:val="00463363"/>
    <w:rsid w:val="00471CBF"/>
    <w:rsid w:val="0049554B"/>
    <w:rsid w:val="004B332C"/>
    <w:rsid w:val="004C1C36"/>
    <w:rsid w:val="004C718B"/>
    <w:rsid w:val="004C7F8A"/>
    <w:rsid w:val="004F50A8"/>
    <w:rsid w:val="00522359"/>
    <w:rsid w:val="005414E6"/>
    <w:rsid w:val="0055418E"/>
    <w:rsid w:val="005975A8"/>
    <w:rsid w:val="005B4986"/>
    <w:rsid w:val="005C7195"/>
    <w:rsid w:val="005D0BAE"/>
    <w:rsid w:val="0060421C"/>
    <w:rsid w:val="00610990"/>
    <w:rsid w:val="00636EB9"/>
    <w:rsid w:val="00650DB9"/>
    <w:rsid w:val="006713FC"/>
    <w:rsid w:val="006814C3"/>
    <w:rsid w:val="006A0346"/>
    <w:rsid w:val="006E187E"/>
    <w:rsid w:val="006F4110"/>
    <w:rsid w:val="006F4695"/>
    <w:rsid w:val="006F471C"/>
    <w:rsid w:val="007012D9"/>
    <w:rsid w:val="0073773E"/>
    <w:rsid w:val="007514F6"/>
    <w:rsid w:val="0075356E"/>
    <w:rsid w:val="0075364D"/>
    <w:rsid w:val="00777F89"/>
    <w:rsid w:val="007C6BD0"/>
    <w:rsid w:val="007E0A49"/>
    <w:rsid w:val="007E1DF5"/>
    <w:rsid w:val="007E69EC"/>
    <w:rsid w:val="00871DAE"/>
    <w:rsid w:val="00890010"/>
    <w:rsid w:val="008D50D0"/>
    <w:rsid w:val="008E4DB4"/>
    <w:rsid w:val="00903DE9"/>
    <w:rsid w:val="00951AA4"/>
    <w:rsid w:val="00956EB1"/>
    <w:rsid w:val="00965F39"/>
    <w:rsid w:val="009863E8"/>
    <w:rsid w:val="0099360E"/>
    <w:rsid w:val="009A4920"/>
    <w:rsid w:val="009B2C23"/>
    <w:rsid w:val="009B36B3"/>
    <w:rsid w:val="00A357DC"/>
    <w:rsid w:val="00A51CE9"/>
    <w:rsid w:val="00A81D17"/>
    <w:rsid w:val="00AE432D"/>
    <w:rsid w:val="00B17AEB"/>
    <w:rsid w:val="00B904E3"/>
    <w:rsid w:val="00C22A87"/>
    <w:rsid w:val="00C94CF1"/>
    <w:rsid w:val="00CA3486"/>
    <w:rsid w:val="00CB55DD"/>
    <w:rsid w:val="00CF25F3"/>
    <w:rsid w:val="00CF5C0D"/>
    <w:rsid w:val="00D855B2"/>
    <w:rsid w:val="00DB48C0"/>
    <w:rsid w:val="00E67474"/>
    <w:rsid w:val="00E67E7D"/>
    <w:rsid w:val="00EC020B"/>
    <w:rsid w:val="00F008C3"/>
    <w:rsid w:val="00F20FFA"/>
    <w:rsid w:val="00F806AB"/>
    <w:rsid w:val="00F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7F634"/>
  <w15:docId w15:val="{A7C78F85-9B23-4068-B65E-42BB1DDE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8F"/>
  </w:style>
  <w:style w:type="paragraph" w:styleId="Footer">
    <w:name w:val="footer"/>
    <w:basedOn w:val="Normal"/>
    <w:link w:val="Foot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8F"/>
  </w:style>
  <w:style w:type="character" w:customStyle="1" w:styleId="cl">
    <w:name w:val="cl"/>
    <w:basedOn w:val="DefaultParagraphFont"/>
    <w:rsid w:val="00FB192E"/>
  </w:style>
  <w:style w:type="paragraph" w:customStyle="1" w:styleId="ci">
    <w:name w:val="ci"/>
    <w:basedOn w:val="Normal"/>
    <w:rsid w:val="00FB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j">
    <w:name w:val="cj"/>
    <w:basedOn w:val="Normal"/>
    <w:rsid w:val="00FB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C7195"/>
    <w:pPr>
      <w:ind w:left="720"/>
      <w:contextualSpacing/>
    </w:pPr>
  </w:style>
  <w:style w:type="paragraph" w:styleId="Revision">
    <w:name w:val="Revision"/>
    <w:hidden/>
    <w:uiPriority w:val="99"/>
    <w:semiHidden/>
    <w:rsid w:val="004B3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1037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Wilson</dc:creator>
  <cp:lastModifiedBy>Patricia Kendall</cp:lastModifiedBy>
  <cp:revision>3</cp:revision>
  <cp:lastPrinted>2022-07-15T08:16:00Z</cp:lastPrinted>
  <dcterms:created xsi:type="dcterms:W3CDTF">2025-12-04T11:12:00Z</dcterms:created>
  <dcterms:modified xsi:type="dcterms:W3CDTF">2025-12-04T11:13:00Z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